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D0" w:rsidRPr="00D46864" w:rsidRDefault="004627D0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RPr="00D46864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63" w:rsidRPr="00D46864" w:rsidRDefault="00E85163" w:rsidP="00E85163">
            <w:r w:rsidRPr="00D46864">
              <w:t xml:space="preserve">Rekstur og starfsemi Fjölbrautaskólans við Ármúla er bundinn af lögum og reglugerðum. Skólameistara ber að fylgja eftir lögum og reglugerðum sem við eiga hverju sinni. Á eftirfarandi vefsíðum má </w:t>
            </w:r>
            <w:r w:rsidR="006568E8" w:rsidRPr="00D46864">
              <w:t>f</w:t>
            </w:r>
            <w:r w:rsidRPr="00D46864">
              <w:t>inna lög, reglugerðir og annað efni sem varðar rekstur og umgjörð skólans:</w:t>
            </w:r>
          </w:p>
          <w:p w:rsidR="00E85163" w:rsidRPr="00D46864" w:rsidRDefault="00E85163" w:rsidP="00E85163">
            <w:pPr>
              <w:rPr>
                <w:sz w:val="22"/>
              </w:rPr>
            </w:pPr>
          </w:p>
          <w:p w:rsidR="00E85163" w:rsidRPr="00D46864" w:rsidRDefault="002F16FC" w:rsidP="00E85163">
            <w:pPr>
              <w:rPr>
                <w:color w:val="FF0000"/>
              </w:rPr>
            </w:pPr>
            <w:hyperlink r:id="rId7" w:history="1">
              <w:r w:rsidR="00E85163" w:rsidRPr="00D46864">
                <w:rPr>
                  <w:rStyle w:val="Hyperlink"/>
                </w:rPr>
                <w:t>https://www.althingi.is/lagasafn/</w:t>
              </w:r>
            </w:hyperlink>
            <w:r w:rsidR="00E85163" w:rsidRPr="00D46864">
              <w:t xml:space="preserve"> sem varðar lög</w:t>
            </w:r>
            <w:r w:rsidR="007F4DC2" w:rsidRPr="00D46864">
              <w:t xml:space="preserve"> </w:t>
            </w:r>
          </w:p>
          <w:p w:rsidR="00E85163" w:rsidRPr="00D46864" w:rsidRDefault="002F16FC" w:rsidP="00E85163">
            <w:hyperlink r:id="rId8" w:history="1">
              <w:r w:rsidR="00E85163" w:rsidRPr="00D46864">
                <w:rPr>
                  <w:rStyle w:val="Hyperlink"/>
                </w:rPr>
                <w:t>https://www.stjornarradid.is/raduneyti/mennta-og-menningarmalaraduneytid/um-raduneytid/</w:t>
              </w:r>
            </w:hyperlink>
            <w:r w:rsidR="00E85163" w:rsidRPr="00D46864">
              <w:t xml:space="preserve"> þar sem aðalnámskrá framhaldsskóla er að finna</w:t>
            </w:r>
          </w:p>
          <w:p w:rsidR="00E85163" w:rsidRPr="00D46864" w:rsidRDefault="002F16FC" w:rsidP="00E85163">
            <w:hyperlink r:id="rId9" w:history="1">
              <w:r w:rsidR="00E85163" w:rsidRPr="00D46864">
                <w:rPr>
                  <w:rStyle w:val="Hyperlink"/>
                </w:rPr>
                <w:t>https://www.reglugerd.is/</w:t>
              </w:r>
            </w:hyperlink>
            <w:r w:rsidR="00E85163" w:rsidRPr="00D46864">
              <w:t xml:space="preserve"> þar sem reglugerðir er að finna</w:t>
            </w:r>
          </w:p>
          <w:p w:rsidR="00E85163" w:rsidRPr="00D46864" w:rsidRDefault="002F16FC" w:rsidP="00E85163">
            <w:hyperlink r:id="rId10" w:history="1">
              <w:r w:rsidR="00E85163" w:rsidRPr="00D46864">
                <w:rPr>
                  <w:rStyle w:val="Hyperlink"/>
                </w:rPr>
                <w:t>https://www.stjornartidindi.is/</w:t>
              </w:r>
            </w:hyperlink>
            <w:r w:rsidR="00E85163" w:rsidRPr="00D46864">
              <w:t xml:space="preserve"> er varðar annað almennt efni</w:t>
            </w:r>
          </w:p>
          <w:p w:rsidR="00E85163" w:rsidRPr="00D46864" w:rsidRDefault="00E85163" w:rsidP="00E85163"/>
          <w:p w:rsidR="00390360" w:rsidRPr="00D46864" w:rsidRDefault="007516F4" w:rsidP="00390360">
            <w:r w:rsidRPr="00D46864">
              <w:t>Um starfsemi framhaldsskóla er kveðið á um í lögum nr. 93/</w:t>
            </w:r>
            <w:r w:rsidR="00390360" w:rsidRPr="00D46864">
              <w:t xml:space="preserve">2008 og gildir þá einu hvort um er að ræða fjarnám eða nám í dagskóla. Mennta- og menningarmálaráðuneytið hefur eftirlitshlutverk með starfsemi framhaldsskóla og metur skólastarfið í heild sinni með tvennum hætti. Annars vegar er um að ræða mat sem skólar framkvæma sjálfir (innra mat) og hins vegar er um að ræða mat sem utanaðkomandi aðili vinnur á vegum ráðuneytisins eða annara aðila (ytra mat). Markmið mats og eftirlits með gæðum starfs í framhaldsskólum er: </w:t>
            </w:r>
          </w:p>
          <w:p w:rsidR="00172DD9" w:rsidRPr="00D46864" w:rsidRDefault="00172DD9" w:rsidP="00172DD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Cs w:val="24"/>
              </w:rPr>
            </w:pPr>
            <w:r w:rsidRPr="00D46864">
              <w:rPr>
                <w:color w:val="111111"/>
                <w:szCs w:val="24"/>
              </w:rPr>
              <w:t>veita upplýsingar um skólastarf, árangur þess og þróun til fræðsluyfirvalda, starfsfólks framhaldsskóla, viðtökuskóla, atvinnulífs, foreldra og nemenda,</w:t>
            </w:r>
          </w:p>
          <w:p w:rsidR="00172DD9" w:rsidRPr="00D46864" w:rsidRDefault="00172DD9" w:rsidP="00172DD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Cs w:val="24"/>
              </w:rPr>
            </w:pPr>
            <w:r w:rsidRPr="00D46864">
              <w:rPr>
                <w:color w:val="111111"/>
                <w:szCs w:val="24"/>
              </w:rPr>
              <w:t>tryggja að starfsemi skóla sé í samræmi við ákvæði laga, reglugerða og aðalnámskrár framhaldsskóla,</w:t>
            </w:r>
          </w:p>
          <w:p w:rsidR="00172DD9" w:rsidRPr="00D46864" w:rsidRDefault="00172DD9" w:rsidP="00172DD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Cs w:val="24"/>
              </w:rPr>
            </w:pPr>
            <w:r w:rsidRPr="00D46864">
              <w:rPr>
                <w:color w:val="111111"/>
                <w:szCs w:val="24"/>
              </w:rPr>
              <w:t>auka gæði náms og skólastarfs og stuðla að umbótum,</w:t>
            </w:r>
          </w:p>
          <w:p w:rsidR="00390360" w:rsidRPr="00D46864" w:rsidRDefault="00172DD9" w:rsidP="0039036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Cs w:val="24"/>
              </w:rPr>
            </w:pPr>
            <w:r w:rsidRPr="00D46864">
              <w:rPr>
                <w:color w:val="111111"/>
                <w:szCs w:val="24"/>
              </w:rPr>
              <w:t>tryggja að réttindi nemenda séu virt og að þeir fái þá þjónustu sem þeir eiga rétt á samkvæmt lögum.</w:t>
            </w:r>
          </w:p>
          <w:p w:rsidR="00E85163" w:rsidRPr="00D46864" w:rsidRDefault="00390360" w:rsidP="00390360">
            <w:pPr>
              <w:spacing w:before="100" w:beforeAutospacing="1" w:after="100" w:afterAutospacing="1"/>
              <w:rPr>
                <w:color w:val="111111"/>
                <w:szCs w:val="24"/>
              </w:rPr>
            </w:pPr>
            <w:r w:rsidRPr="00D46864">
              <w:rPr>
                <w:color w:val="111111"/>
                <w:szCs w:val="24"/>
              </w:rPr>
              <w:t xml:space="preserve">Opinberir framhaldsskólar þurfa einnig að taka mið af öðrum lögum í allri sinni starfsemi: </w:t>
            </w:r>
          </w:p>
          <w:p w:rsidR="00E85163" w:rsidRPr="00D46864" w:rsidRDefault="00390360" w:rsidP="00E85163">
            <w:r w:rsidRPr="00D46864">
              <w:rPr>
                <w:b/>
              </w:rPr>
              <w:t>Við ráðningar kennara:</w:t>
            </w:r>
            <w:r w:rsidRPr="00D46864">
              <w:t xml:space="preserve"> </w:t>
            </w:r>
            <w:r w:rsidR="00E85163" w:rsidRPr="00D46864">
              <w:t xml:space="preserve">Lög nr. 87/2008 um </w:t>
            </w:r>
            <w:r w:rsidR="00D46864" w:rsidRPr="00D46864">
              <w:t>menntun</w:t>
            </w:r>
            <w:r w:rsidR="00E85163" w:rsidRPr="00D46864">
              <w:t xml:space="preserve"> og ráðningu kennara og skólastjórnenda við leikskóla, grunnskóla og framhaldsskóla: </w:t>
            </w:r>
            <w:hyperlink r:id="rId11" w:history="1">
              <w:r w:rsidR="00E85163" w:rsidRPr="00D46864">
                <w:rPr>
                  <w:rStyle w:val="Hyperlink"/>
                </w:rPr>
                <w:t>https://www.althingi.is/lagas/148c/2008087.html</w:t>
              </w:r>
            </w:hyperlink>
            <w:r w:rsidR="00E85163" w:rsidRPr="00D46864">
              <w:t xml:space="preserve"> </w:t>
            </w:r>
          </w:p>
          <w:p w:rsidR="00390360" w:rsidRPr="00D46864" w:rsidRDefault="00390360" w:rsidP="00E85163">
            <w:pPr>
              <w:rPr>
                <w:sz w:val="22"/>
                <w:szCs w:val="22"/>
              </w:rPr>
            </w:pPr>
          </w:p>
          <w:p w:rsidR="00E85163" w:rsidRPr="00D46864" w:rsidRDefault="00390360" w:rsidP="00E85163">
            <w:r w:rsidRPr="00D46864">
              <w:rPr>
                <w:b/>
                <w:sz w:val="22"/>
                <w:szCs w:val="22"/>
              </w:rPr>
              <w:t>Námsframboð</w:t>
            </w:r>
            <w:r w:rsidR="001F016E" w:rsidRPr="00D46864">
              <w:rPr>
                <w:b/>
                <w:sz w:val="22"/>
                <w:szCs w:val="22"/>
              </w:rPr>
              <w:t xml:space="preserve"> og inntökuskilyrði í nám</w:t>
            </w:r>
            <w:r w:rsidRPr="00D46864">
              <w:rPr>
                <w:b/>
                <w:sz w:val="22"/>
                <w:szCs w:val="22"/>
              </w:rPr>
              <w:t xml:space="preserve"> fyrir þá sem hafa hlotið litla undirstöðumenntun sbr. styttri námsbrautir í dag og fjarnámi: </w:t>
            </w:r>
            <w:r w:rsidR="00E85163" w:rsidRPr="00D46864">
              <w:t xml:space="preserve">Lög nr. 27/2010 um framhaldsfræðslu:  </w:t>
            </w:r>
            <w:hyperlink r:id="rId12" w:history="1">
              <w:r w:rsidR="00E85163" w:rsidRPr="00D46864">
                <w:rPr>
                  <w:rStyle w:val="Hyperlink"/>
                </w:rPr>
                <w:t>https://www.althingi.is/lagas/148c/2010027.html</w:t>
              </w:r>
            </w:hyperlink>
            <w:r w:rsidR="00E85163" w:rsidRPr="00D46864">
              <w:t xml:space="preserve">   </w:t>
            </w:r>
          </w:p>
          <w:p w:rsidR="001F016E" w:rsidRPr="00D46864" w:rsidRDefault="001F016E" w:rsidP="00E85163"/>
          <w:p w:rsidR="00E85163" w:rsidRPr="00D46864" w:rsidRDefault="001F016E" w:rsidP="00E85163">
            <w:pPr>
              <w:rPr>
                <w:rStyle w:val="Hyperlink"/>
              </w:rPr>
            </w:pPr>
            <w:r w:rsidRPr="00D46864">
              <w:rPr>
                <w:b/>
              </w:rPr>
              <w:t xml:space="preserve">Réttindi og skyldur allra starfsmanna skólans: </w:t>
            </w:r>
            <w:r w:rsidR="00E85163" w:rsidRPr="00D46864">
              <w:t xml:space="preserve">Lög nr. 70/1996 um réttindi og skyldur starfsmanna ríkisins:  </w:t>
            </w:r>
            <w:hyperlink r:id="rId13" w:history="1">
              <w:r w:rsidR="00E85163" w:rsidRPr="00D46864">
                <w:rPr>
                  <w:rStyle w:val="Hyperlink"/>
                </w:rPr>
                <w:t>https://www.althingi.is/lagas/148c/1996070.html</w:t>
              </w:r>
            </w:hyperlink>
          </w:p>
          <w:p w:rsidR="001F016E" w:rsidRPr="00D46864" w:rsidRDefault="001F016E" w:rsidP="00E85163"/>
          <w:p w:rsidR="00E85163" w:rsidRPr="00D46864" w:rsidRDefault="001F016E" w:rsidP="00E85163">
            <w:r w:rsidRPr="00D46864">
              <w:rPr>
                <w:b/>
              </w:rPr>
              <w:t>Samskipti við nemendur á fræðsluskyldualdri</w:t>
            </w:r>
            <w:r w:rsidR="002731AF" w:rsidRPr="00D46864">
              <w:rPr>
                <w:b/>
              </w:rPr>
              <w:t xml:space="preserve"> </w:t>
            </w:r>
            <w:r w:rsidR="002731AF" w:rsidRPr="00D46864">
              <w:t>(upplýsingaskylda til forráðamanna og tilkynningaskylda til fagaðila þar sem við á)</w:t>
            </w:r>
            <w:r w:rsidRPr="00D46864">
              <w:rPr>
                <w:b/>
              </w:rPr>
              <w:t xml:space="preserve">: </w:t>
            </w:r>
            <w:r w:rsidR="00E85163" w:rsidRPr="00D46864">
              <w:t xml:space="preserve">Barnaverndarlög nr. 80/2002:  </w:t>
            </w:r>
            <w:hyperlink r:id="rId14" w:history="1">
              <w:r w:rsidR="00E85163" w:rsidRPr="00D46864">
                <w:rPr>
                  <w:rStyle w:val="Hyperlink"/>
                </w:rPr>
                <w:t>https://www.althingi.is/lagas/148c/2002080.html</w:t>
              </w:r>
            </w:hyperlink>
            <w:r w:rsidR="00E85163" w:rsidRPr="00D46864">
              <w:t xml:space="preserve"> </w:t>
            </w:r>
          </w:p>
          <w:p w:rsidR="002731AF" w:rsidRPr="00D46864" w:rsidRDefault="002731AF" w:rsidP="00E85163"/>
          <w:p w:rsidR="00E85163" w:rsidRPr="00D46864" w:rsidRDefault="002731AF" w:rsidP="00E85163">
            <w:r w:rsidRPr="00D46864">
              <w:rPr>
                <w:b/>
              </w:rPr>
              <w:lastRenderedPageBreak/>
              <w:t xml:space="preserve">Skráning og meðferð gagna er varða skólastarfið: </w:t>
            </w:r>
            <w:r w:rsidR="00E85163" w:rsidRPr="00D46864">
              <w:t xml:space="preserve">Upplýsingalög nr. 140/2012:  </w:t>
            </w:r>
            <w:hyperlink r:id="rId15" w:history="1">
              <w:r w:rsidR="00E85163" w:rsidRPr="00D46864">
                <w:rPr>
                  <w:rStyle w:val="Hyperlink"/>
                </w:rPr>
                <w:t>https://www.althingi.is/lagas/148c/2012140.html</w:t>
              </w:r>
            </w:hyperlink>
            <w:r w:rsidR="00E85163" w:rsidRPr="00D46864">
              <w:t xml:space="preserve"> </w:t>
            </w:r>
          </w:p>
          <w:p w:rsidR="006F4D99" w:rsidRDefault="006F4D99" w:rsidP="00E85163">
            <w:pPr>
              <w:rPr>
                <w:b/>
              </w:rPr>
            </w:pPr>
          </w:p>
          <w:p w:rsidR="00E85163" w:rsidRPr="00D46864" w:rsidRDefault="002731AF" w:rsidP="00E85163">
            <w:bookmarkStart w:id="0" w:name="_GoBack"/>
            <w:bookmarkEnd w:id="0"/>
            <w:r w:rsidRPr="00D46864">
              <w:rPr>
                <w:b/>
              </w:rPr>
              <w:t xml:space="preserve">Meðferð mála </w:t>
            </w:r>
            <w:r w:rsidRPr="00D46864">
              <w:t>(t.d. vegna kvartana er varða nám, kennslu og fl.)</w:t>
            </w:r>
            <w:r w:rsidRPr="00D46864">
              <w:rPr>
                <w:b/>
              </w:rPr>
              <w:t xml:space="preserve">: </w:t>
            </w:r>
            <w:r w:rsidR="00E85163" w:rsidRPr="00D46864">
              <w:t xml:space="preserve">Stjórnsýslulög nr. 37/1993:  </w:t>
            </w:r>
            <w:hyperlink r:id="rId16" w:history="1">
              <w:r w:rsidR="00E85163" w:rsidRPr="00D46864">
                <w:rPr>
                  <w:rStyle w:val="Hyperlink"/>
                </w:rPr>
                <w:t>https://www.althingi.is/lagas/148c/1993037.html</w:t>
              </w:r>
            </w:hyperlink>
            <w:r w:rsidR="00E85163" w:rsidRPr="00D46864">
              <w:t xml:space="preserve"> </w:t>
            </w:r>
          </w:p>
          <w:p w:rsidR="002731AF" w:rsidRPr="00D46864" w:rsidRDefault="002731AF" w:rsidP="00E85163"/>
          <w:p w:rsidR="00E85163" w:rsidRPr="00D46864" w:rsidRDefault="002731AF" w:rsidP="00E85163">
            <w:pPr>
              <w:rPr>
                <w:rStyle w:val="Hyperlink"/>
              </w:rPr>
            </w:pPr>
            <w:r w:rsidRPr="00D46864">
              <w:rPr>
                <w:b/>
              </w:rPr>
              <w:t xml:space="preserve">Um störf náms- og starfsráðgjafa: </w:t>
            </w:r>
            <w:r w:rsidR="00E85163" w:rsidRPr="00D46864">
              <w:t xml:space="preserve">Lög um náms- og starfsráðgjafa nr. 35/2009:  </w:t>
            </w:r>
            <w:hyperlink r:id="rId17" w:history="1">
              <w:r w:rsidR="00E85163" w:rsidRPr="00D46864">
                <w:rPr>
                  <w:rStyle w:val="Hyperlink"/>
                </w:rPr>
                <w:t>https://www.althingi.is/lagas/148c/2009035.html</w:t>
              </w:r>
            </w:hyperlink>
          </w:p>
          <w:p w:rsidR="002731AF" w:rsidRPr="00D46864" w:rsidRDefault="002731AF" w:rsidP="00E85163"/>
          <w:p w:rsidR="00E85163" w:rsidRPr="00D46864" w:rsidRDefault="002731AF" w:rsidP="00E85163">
            <w:r w:rsidRPr="00D46864">
              <w:rPr>
                <w:b/>
              </w:rPr>
              <w:t xml:space="preserve">Öll starfsemi skólans: </w:t>
            </w:r>
            <w:r w:rsidR="00E85163" w:rsidRPr="00D46864">
              <w:t xml:space="preserve">Lög um framhaldsskóla nr. 93/2008:  </w:t>
            </w:r>
            <w:hyperlink r:id="rId18" w:history="1">
              <w:r w:rsidR="00E85163" w:rsidRPr="00D46864">
                <w:rPr>
                  <w:rStyle w:val="Hyperlink"/>
                </w:rPr>
                <w:t>https://www.althingi.is/lagas/148c/2008092.html</w:t>
              </w:r>
            </w:hyperlink>
            <w:r w:rsidR="00E85163" w:rsidRPr="00D46864">
              <w:t xml:space="preserve"> </w:t>
            </w:r>
          </w:p>
          <w:p w:rsidR="002731AF" w:rsidRPr="00D46864" w:rsidRDefault="002731AF" w:rsidP="00E85163"/>
          <w:p w:rsidR="00E85163" w:rsidRPr="00D46864" w:rsidRDefault="002731AF" w:rsidP="002731AF">
            <w:r w:rsidRPr="00D46864">
              <w:rPr>
                <w:b/>
              </w:rPr>
              <w:t xml:space="preserve">Meðferð og skráning gagna er viðkoma skólanum </w:t>
            </w:r>
            <w:r w:rsidRPr="00D46864">
              <w:t>(t.d. varðveislu prófúrlausna, persónulegra gagna er varða nemendur og fl.)</w:t>
            </w:r>
            <w:r w:rsidRPr="00D46864">
              <w:rPr>
                <w:b/>
              </w:rPr>
              <w:t xml:space="preserve"> </w:t>
            </w:r>
            <w:r w:rsidR="00E85163" w:rsidRPr="00D46864">
              <w:t xml:space="preserve">Lög nr. 77/2000 um persónuvernd og meðferð persónuupplýsinga: </w:t>
            </w:r>
            <w:hyperlink r:id="rId19" w:history="1">
              <w:r w:rsidR="00E85163" w:rsidRPr="00D46864">
                <w:rPr>
                  <w:rStyle w:val="Hyperlink"/>
                </w:rPr>
                <w:t>https://www.althingi.is/lagas/148b/2000077.html</w:t>
              </w:r>
            </w:hyperlink>
            <w:r w:rsidR="00E85163" w:rsidRPr="00D46864">
              <w:t xml:space="preserve"> </w:t>
            </w:r>
          </w:p>
          <w:p w:rsidR="00E85163" w:rsidRPr="00D46864" w:rsidRDefault="00E85163" w:rsidP="00E85163"/>
          <w:p w:rsidR="00E85163" w:rsidRPr="00D46864" w:rsidRDefault="00E85163" w:rsidP="00E85163">
            <w:pPr>
              <w:rPr>
                <w:b/>
              </w:rPr>
            </w:pPr>
            <w:r w:rsidRPr="00D46864">
              <w:rPr>
                <w:b/>
              </w:rPr>
              <w:t xml:space="preserve">Reglugerðir: </w:t>
            </w:r>
          </w:p>
          <w:p w:rsidR="00E85163" w:rsidRPr="00D46864" w:rsidRDefault="00E85163" w:rsidP="00E85163">
            <w:r w:rsidRPr="00D46864">
              <w:t xml:space="preserve">Reglugerð nr. 235/012 um upplýsingaskyldu framhaldsskóla um skólahald, aðra kerfisbundna skráningu og meðferð persónuupplýsinga um nemendur:  </w:t>
            </w:r>
            <w:hyperlink r:id="rId20" w:history="1">
              <w:r w:rsidRPr="00D46864">
                <w:rPr>
                  <w:rStyle w:val="Hyperlink"/>
                </w:rPr>
                <w:t>https://www.reglugerd.is/reglugerdir/eftir-raduneytum/mennta--og-menningarmalaraduneyti/nr/17758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230/2012 um nemendur með sérþarfir í framhaldsskólum: </w:t>
            </w:r>
            <w:hyperlink r:id="rId21" w:history="1">
              <w:r w:rsidRPr="00D46864">
                <w:rPr>
                  <w:rStyle w:val="Hyperlink"/>
                </w:rPr>
                <w:t>https://www.reglugerd.is/reglugerdir/eftir-raduneytum/mennta--og-menningarmalaraduneyti/nr/17759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700/2010 um mat og eftirlit í framhaldsskólum: </w:t>
            </w:r>
            <w:hyperlink r:id="rId22" w:history="1">
              <w:r w:rsidRPr="00D46864">
                <w:rPr>
                  <w:rStyle w:val="Hyperlink"/>
                </w:rPr>
                <w:t>https://www.reglugerd.is/reglugerdir/eftir-raduneytum/mennta--og-menningarmalaraduneyti/nr/16661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105/1990 um framhaldsskóla: </w:t>
            </w:r>
            <w:hyperlink r:id="rId23" w:history="1">
              <w:r w:rsidRPr="00D46864">
                <w:rPr>
                  <w:rStyle w:val="Hyperlink"/>
                </w:rPr>
                <w:t>https://www.reglugerd.is/reglugerdir/eftir-raduneytum/mennta--og-menningarmalaraduneyti/nr/645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654/2009 um rétt nemenda í framhaldsskólum til kennslu í íslensku: </w:t>
            </w:r>
            <w:hyperlink r:id="rId24" w:history="1">
              <w:r w:rsidRPr="00D46864">
                <w:rPr>
                  <w:rStyle w:val="Hyperlink"/>
                </w:rPr>
                <w:t>https://www.reglugerd.is/reglugerdir/eftir-raduneytum/menntamalaraduneyti/nr/15545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614/2009 um gjaldtökuheimildir opinberra framhaldsskóla: </w:t>
            </w:r>
            <w:hyperlink r:id="rId25" w:history="1">
              <w:r w:rsidRPr="00D46864">
                <w:rPr>
                  <w:rStyle w:val="Hyperlink"/>
                </w:rPr>
                <w:t>https://www.reglugerd.is/reglugerdir/eftir-raduneytum/menntamalaraduneyti/nr/15601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1150/2008 um innritun í framhaldsskóla: </w:t>
            </w:r>
            <w:hyperlink r:id="rId26" w:history="1">
              <w:r w:rsidRPr="00D46864">
                <w:rPr>
                  <w:rStyle w:val="Hyperlink"/>
                </w:rPr>
                <w:t>https://www.reglugerd.is/reglugerdir/eftir-raduneytum/menntamalaraduneyti/nr/10529</w:t>
              </w:r>
            </w:hyperlink>
          </w:p>
          <w:p w:rsidR="00E85163" w:rsidRPr="00D46864" w:rsidRDefault="00E85163" w:rsidP="00E85163">
            <w:r w:rsidRPr="00D46864">
              <w:t xml:space="preserve">Reglugerð nr. 1100/2007 um starfslið og skipulag framhaldsskóla: </w:t>
            </w:r>
            <w:hyperlink r:id="rId27" w:history="1">
              <w:r w:rsidRPr="00D46864">
                <w:rPr>
                  <w:rStyle w:val="Hyperlink"/>
                </w:rPr>
                <w:t>https://www.reglugerd.is/reglugerdir/eftir-raduneytum/menntamalaraduneyti/nr/8985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326/2016 um ábyrgð og skyldur aðila skólasamfélagsins í framhaldsskólum: </w:t>
            </w:r>
            <w:hyperlink r:id="rId28" w:history="1">
              <w:r w:rsidRPr="00D46864">
                <w:rPr>
                  <w:rStyle w:val="Hyperlink"/>
                </w:rPr>
                <w:t>https://www.reglugerd.is/reglugerdir/eftir-raduneytum/mennta--og-menningarmalaraduneyti/nr/0326-2016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260/2017 um starfstíma framhaldsskóla: </w:t>
            </w:r>
            <w:hyperlink r:id="rId29" w:history="1">
              <w:r w:rsidRPr="00D46864">
                <w:rPr>
                  <w:rStyle w:val="Hyperlink"/>
                </w:rPr>
                <w:t>https://www.reglugerd.is/reglugerdir/eftir-raduneytum/mennta--og-menningarmalaraduneyti/nr/0260-2017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840/2011 um vinnustaðanám og starfsþjálfun á vinnustað: </w:t>
            </w:r>
            <w:hyperlink r:id="rId30" w:history="1">
              <w:r w:rsidRPr="00D46864">
                <w:rPr>
                  <w:rStyle w:val="Hyperlink"/>
                </w:rPr>
                <w:t>https://www.reglugerd.is/reglugerdir/eftir-raduneytum/mennta--og-menningarmalaraduneyti/nr/18028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lastRenderedPageBreak/>
              <w:t xml:space="preserve">Reglugerð nr. 762/2010 um námsorlof kennara og stjórnenda framhaldsskóla: </w:t>
            </w:r>
            <w:hyperlink r:id="rId31" w:history="1">
              <w:r w:rsidRPr="00D46864">
                <w:rPr>
                  <w:rStyle w:val="Hyperlink"/>
                </w:rPr>
                <w:t>https://www.reglugerd.is/reglugerdir/eftir-raduneytum/mennta--og-menningarmalaraduneyti/nr/16723</w:t>
              </w:r>
            </w:hyperlink>
            <w:r w:rsidRPr="00D46864">
              <w:t xml:space="preserve"> </w:t>
            </w:r>
          </w:p>
          <w:p w:rsidR="00E85163" w:rsidRPr="00D46864" w:rsidRDefault="00E85163" w:rsidP="00E85163">
            <w:r w:rsidRPr="00D46864">
              <w:t xml:space="preserve">Reglugerð nr. 326/2007 um takmarkanir á tóbaksreykingum: </w:t>
            </w:r>
            <w:hyperlink r:id="rId32" w:history="1">
              <w:r w:rsidRPr="00D46864">
                <w:rPr>
                  <w:rStyle w:val="Hyperlink"/>
                </w:rPr>
                <w:t>https://www.reglugerd.is/reglugerdir/eftir-raduneytum/heilbrigdisraduneyti/nr/9765</w:t>
              </w:r>
            </w:hyperlink>
            <w:r w:rsidRPr="00D46864">
              <w:t xml:space="preserve"> </w:t>
            </w:r>
          </w:p>
          <w:p w:rsidR="00464AF8" w:rsidRPr="00D46864" w:rsidRDefault="00464AF8" w:rsidP="00E85163">
            <w:pPr>
              <w:ind w:left="360"/>
              <w:rPr>
                <w:szCs w:val="24"/>
              </w:rPr>
            </w:pPr>
          </w:p>
        </w:tc>
      </w:tr>
    </w:tbl>
    <w:p w:rsidR="00363008" w:rsidRPr="00D46864" w:rsidRDefault="00363008" w:rsidP="00675993">
      <w:pPr>
        <w:rPr>
          <w:rFonts w:ascii="Arial" w:hAnsi="Arial"/>
          <w:i/>
          <w:sz w:val="20"/>
        </w:rPr>
      </w:pPr>
    </w:p>
    <w:sectPr w:rsidR="00363008" w:rsidRPr="00D46864" w:rsidSect="00566A64">
      <w:headerReference w:type="default" r:id="rId33"/>
      <w:footerReference w:type="default" r:id="rId34"/>
      <w:headerReference w:type="first" r:id="rId35"/>
      <w:footerReference w:type="first" r:id="rId36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E3" w:rsidRDefault="009259E3">
      <w:r>
        <w:separator/>
      </w:r>
    </w:p>
  </w:endnote>
  <w:endnote w:type="continuationSeparator" w:id="0">
    <w:p w:rsidR="009259E3" w:rsidRDefault="009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5C2E27" w:rsidRDefault="00E85163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Lög og reglur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D46864">
      <w:rPr>
        <w:rFonts w:ascii="Arial" w:hAnsi="Arial" w:cs="Arial"/>
        <w:b/>
        <w:noProof/>
        <w:szCs w:val="16"/>
        <w:lang w:val="is-IS"/>
      </w:rPr>
      <w:t>27.03.2019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D46864">
      <w:rPr>
        <w:rFonts w:ascii="Arial" w:hAnsi="Arial"/>
        <w:noProof/>
      </w:rPr>
      <w:t>27.3.2019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E3" w:rsidRDefault="009259E3">
      <w:r>
        <w:separator/>
      </w:r>
    </w:p>
  </w:footnote>
  <w:footnote w:type="continuationSeparator" w:id="0">
    <w:p w:rsidR="009259E3" w:rsidRDefault="009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E85163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STS-009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009AA6C" wp14:editId="0DDB9EA5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8C01C2">
            <w:rPr>
              <w:rFonts w:ascii="Arial" w:hAnsi="Arial" w:cs="Arial"/>
              <w:sz w:val="18"/>
              <w:szCs w:val="18"/>
              <w:lang w:val="is-IS"/>
            </w:rPr>
            <w:t>2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8C01C2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8C01C2">
            <w:rPr>
              <w:rFonts w:ascii="Arial" w:hAnsi="Arial" w:cs="Arial"/>
              <w:sz w:val="18"/>
              <w:szCs w:val="18"/>
              <w:lang w:val="is-IS"/>
            </w:rPr>
            <w:t>27.3.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2019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0F6E6A" w:rsidRDefault="00DD7CA1" w:rsidP="00E8516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 w:rsidR="00E85163">
            <w:rPr>
              <w:rFonts w:ascii="Arial" w:hAnsi="Arial" w:cs="Arial"/>
              <w:sz w:val="18"/>
              <w:szCs w:val="18"/>
              <w:lang w:val="is-IS"/>
            </w:rPr>
            <w:t>KB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E85163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Lög og reglur</w:t>
          </w:r>
        </w:p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0F6E6A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F16FC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F16FC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3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9688D"/>
    <w:multiLevelType w:val="multilevel"/>
    <w:tmpl w:val="54F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0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1" w15:restartNumberingAfterBreak="0">
    <w:nsid w:val="76FD2AF7"/>
    <w:multiLevelType w:val="hybridMultilevel"/>
    <w:tmpl w:val="26F039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6E6A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2DD9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016E"/>
    <w:rsid w:val="001F5673"/>
    <w:rsid w:val="001F73F8"/>
    <w:rsid w:val="002011C6"/>
    <w:rsid w:val="002075DE"/>
    <w:rsid w:val="0022651C"/>
    <w:rsid w:val="00231CF6"/>
    <w:rsid w:val="0023588D"/>
    <w:rsid w:val="002369DB"/>
    <w:rsid w:val="00237D02"/>
    <w:rsid w:val="0025305D"/>
    <w:rsid w:val="002731AF"/>
    <w:rsid w:val="00273CBE"/>
    <w:rsid w:val="00280544"/>
    <w:rsid w:val="00283FD8"/>
    <w:rsid w:val="00290783"/>
    <w:rsid w:val="002E428A"/>
    <w:rsid w:val="002F16FC"/>
    <w:rsid w:val="003037BC"/>
    <w:rsid w:val="00306E8A"/>
    <w:rsid w:val="003127FE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0360"/>
    <w:rsid w:val="00395FBA"/>
    <w:rsid w:val="003A3CB3"/>
    <w:rsid w:val="003A60E6"/>
    <w:rsid w:val="003B4A90"/>
    <w:rsid w:val="003B61D5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26B71"/>
    <w:rsid w:val="004377FF"/>
    <w:rsid w:val="004506E5"/>
    <w:rsid w:val="00450BD8"/>
    <w:rsid w:val="00453C5A"/>
    <w:rsid w:val="004627D0"/>
    <w:rsid w:val="00464AF8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568E8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B6E56"/>
    <w:rsid w:val="006D1A1E"/>
    <w:rsid w:val="006E3B99"/>
    <w:rsid w:val="006E5235"/>
    <w:rsid w:val="006F4D99"/>
    <w:rsid w:val="006F52A4"/>
    <w:rsid w:val="006F6561"/>
    <w:rsid w:val="006F6855"/>
    <w:rsid w:val="007007F1"/>
    <w:rsid w:val="00700CE2"/>
    <w:rsid w:val="007344F0"/>
    <w:rsid w:val="007516F4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4DC2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01C2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259E3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0D2C"/>
    <w:rsid w:val="00CF4AE8"/>
    <w:rsid w:val="00D03FD2"/>
    <w:rsid w:val="00D1202E"/>
    <w:rsid w:val="00D13D12"/>
    <w:rsid w:val="00D16BE5"/>
    <w:rsid w:val="00D321A4"/>
    <w:rsid w:val="00D4686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85163"/>
    <w:rsid w:val="00EB0B20"/>
    <w:rsid w:val="00EB559E"/>
    <w:rsid w:val="00EC0001"/>
    <w:rsid w:val="00EC0D03"/>
    <w:rsid w:val="00EC3521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5BA50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thingi.is/lagas/148c/1996070.html" TargetMode="External"/><Relationship Id="rId18" Type="http://schemas.openxmlformats.org/officeDocument/2006/relationships/hyperlink" Target="https://www.althingi.is/lagas/148c/2008092.html" TargetMode="External"/><Relationship Id="rId26" Type="http://schemas.openxmlformats.org/officeDocument/2006/relationships/hyperlink" Target="https://www.reglugerd.is/reglugerdir/eftir-raduneytum/menntamalaraduneyti/nr/10529" TargetMode="External"/><Relationship Id="rId21" Type="http://schemas.openxmlformats.org/officeDocument/2006/relationships/hyperlink" Target="https://www.reglugerd.is/reglugerdir/eftir-raduneytum/mennta--og-menningarmalaraduneyti/nr/17759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althingi.is/lagasafn/" TargetMode="External"/><Relationship Id="rId12" Type="http://schemas.openxmlformats.org/officeDocument/2006/relationships/hyperlink" Target="https://www.althingi.is/lagas/148c/2010027.html" TargetMode="External"/><Relationship Id="rId17" Type="http://schemas.openxmlformats.org/officeDocument/2006/relationships/hyperlink" Target="https://www.althingi.is/lagas/148c/2009035.html" TargetMode="External"/><Relationship Id="rId25" Type="http://schemas.openxmlformats.org/officeDocument/2006/relationships/hyperlink" Target="https://www.reglugerd.is/reglugerdir/eftir-raduneytum/menntamalaraduneyti/nr/15601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thingi.is/lagas/148c/1993037.html" TargetMode="External"/><Relationship Id="rId20" Type="http://schemas.openxmlformats.org/officeDocument/2006/relationships/hyperlink" Target="https://www.reglugerd.is/reglugerdir/eftir-raduneytum/mennta--og-menningarmalaraduneyti/nr/17758" TargetMode="External"/><Relationship Id="rId29" Type="http://schemas.openxmlformats.org/officeDocument/2006/relationships/hyperlink" Target="https://www.reglugerd.is/reglugerdir/eftir-raduneytum/mennta--og-menningarmalaraduneyti/nr/0260-2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thingi.is/lagas/148c/2008087.html" TargetMode="External"/><Relationship Id="rId24" Type="http://schemas.openxmlformats.org/officeDocument/2006/relationships/hyperlink" Target="https://www.reglugerd.is/reglugerdir/eftir-raduneytum/menntamalaraduneyti/nr/15545" TargetMode="External"/><Relationship Id="rId32" Type="http://schemas.openxmlformats.org/officeDocument/2006/relationships/hyperlink" Target="https://www.reglugerd.is/reglugerdir/eftir-raduneytum/heilbrigdisraduneyti/nr/976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lthingi.is/lagas/148c/2012140.html" TargetMode="External"/><Relationship Id="rId23" Type="http://schemas.openxmlformats.org/officeDocument/2006/relationships/hyperlink" Target="https://www.reglugerd.is/reglugerdir/eftir-raduneytum/mennta--og-menningarmalaraduneyti/nr/645" TargetMode="External"/><Relationship Id="rId28" Type="http://schemas.openxmlformats.org/officeDocument/2006/relationships/hyperlink" Target="https://www.reglugerd.is/reglugerdir/eftir-raduneytum/mennta--og-menningarmalaraduneyti/nr/0326-2016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tjornartidindi.is/" TargetMode="External"/><Relationship Id="rId19" Type="http://schemas.openxmlformats.org/officeDocument/2006/relationships/hyperlink" Target="https://www.althingi.is/lagas/148b/2000077.html" TargetMode="External"/><Relationship Id="rId31" Type="http://schemas.openxmlformats.org/officeDocument/2006/relationships/hyperlink" Target="https://www.reglugerd.is/reglugerdir/eftir-raduneytum/mennta--og-menningarmalaraduneyti/nr/16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lugerd.is/" TargetMode="External"/><Relationship Id="rId14" Type="http://schemas.openxmlformats.org/officeDocument/2006/relationships/hyperlink" Target="https://www.althingi.is/lagas/148c/2002080.html" TargetMode="External"/><Relationship Id="rId22" Type="http://schemas.openxmlformats.org/officeDocument/2006/relationships/hyperlink" Target="https://www.reglugerd.is/reglugerdir/eftir-raduneytum/mennta--og-menningarmalaraduneyti/nr/16661" TargetMode="External"/><Relationship Id="rId27" Type="http://schemas.openxmlformats.org/officeDocument/2006/relationships/hyperlink" Target="https://www.reglugerd.is/reglugerdir/eftir-raduneytum/menntamalaraduneyti/nr/8985" TargetMode="External"/><Relationship Id="rId30" Type="http://schemas.openxmlformats.org/officeDocument/2006/relationships/hyperlink" Target="https://www.reglugerd.is/reglugerdir/eftir-raduneytum/mennta--og-menningarmalaraduneyti/nr/18028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stjornarradid.is/raduneyti/mennta-og-menningarmalaraduneytid/um-raduneytid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6973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7474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2</cp:revision>
  <cp:lastPrinted>2019-03-26T10:28:00Z</cp:lastPrinted>
  <dcterms:created xsi:type="dcterms:W3CDTF">2019-03-27T15:05:00Z</dcterms:created>
  <dcterms:modified xsi:type="dcterms:W3CDTF">2019-03-27T15:05:00Z</dcterms:modified>
</cp:coreProperties>
</file>